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мерах по стимулированию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работников государственных органов Еврейской автономной области, замещающих должности, не являющиеся должностями государственной гражданской службы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к участию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выполнении нормативов испытаний (тестов) Всероссийского физкультурно-спортивного комплекса «Готов к труду и обороне»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целях стимулирования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работников государственных органов Еврейской автономной области, замещающих должности, не являющиеся должностями государственной гражданской службы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 участию в выполнении нормативов испытаний (тестов) Всероссийского физкультурно-спортивного комплекса «Готов к труду и обороне»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в соответствии со статьей 116 Трудо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вого кодекса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ПОСТАНОВЛЯЮ: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Установить, что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работникам государственных органов Еврейской автономной области, замещающим должности, не являющиеся должностями государственной гражданской службы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однократно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предоставляется дополнительный оплачиваемый отпуск за выполнение нормативов испытаний (тест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ов)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Всероссийского физкультурно-спортивного комплекса «Готов к труду и обороне»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(далее – ГТО) за каждое успешное выполнение нормативов испытаний (тестов) комплекса ГТО </w:t>
        <w:br/>
        <w:t xml:space="preserve">в размере: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золотой знак отличия – 3 календарных дня;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серебряный или бронзовый знаки отличия – 2 календарных дня.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Утвердить прилагаемый Порядок предоставления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работникам государственных органов Еврейской автономной области, замещающим должности, не являющиеся должностями государственной гражданской службы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дополнительного оплачиваемого отпуска за выполнение нормативов испытаний (тестов) Всероссийского физкультурно-спортивного комплекса «Готов 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труду и обороне».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Оплата дополнительного оплачиваемого отпуска за выполнение нормативов испытаний (тестов) Всероссийского физкультурно-спортивного комплекса ГТО производится в пределах фонда оплаты труда соответствующего государственного органа Еврей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ской автономной области.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4. Настоящее постановление вступает в силу через 10 дней со дня его официального опубликования 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распространяется на лиц, выполнивших нормативы испытания (тесты) ГТО до дня вступления в силу настоящего постановления.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                                                                     Р.Э. Гольдштейн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386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386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386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386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386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386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386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386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386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386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386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386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386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386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386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386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386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386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386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386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386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386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386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386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386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386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386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386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386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386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ectPr>
          <w:headerReference w:type="default" r:id="rId9"/>
          <w:headerReference w:type="first" r:id="rId10"/>
          <w:footerReference w:type="first" r:id="rId11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left="5386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УТВЕРЖДЕН: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386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386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Постановлением губернатора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386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Еврейской автономной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386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_____________№_________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предоставления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работникам государственных органов Еврейской автономной области, замещающих должности, не являющиеся должностями государственной гражданской службы Еврейской автономной области,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дополнительного оплачиваемого отпуска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 выполнение нормативов испытаний  (тестов)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Всероссийского физкультурно-спортивного комплекса «Готов к труду и обороне»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 Настоящий Порядок предоставления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работникам государственных органов Еврейской автономной области, замещающим должности, </w:t>
        <w:br/>
        <w:t xml:space="preserve">не являющиеся должностями государственной гражданской службы Еврейской автономной области,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дополнительного оплачиваемого отпуска за выполнение нормативов испытаний (тестов) Всероссийского физкультурно-спортивного комплекса «Готов к труду и обо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роне» устанавливает механизм предоставления дополнительного оплачиваемого отпуск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 за выполнение нормативов испытаний (тестов) Всероссийского физкультурно-спортивного комплекса «Готов к труду и обороне» (далее – ГТО)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работнику государственного органа Еврейской автономной области, замещающему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должность, не являющуюся должностью государственной гражданской службы Еврейской автономной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(далее – работник).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 Дополнительный оплачиваемый отпуск за выполнение нормативов испытаний (тестов) Всероссийского физкультурно-спортивного комплекса ГТО предоставляется работнику, награжденному знаком отличия Всероссийского физкультурно-спортивного комп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лекса ГТО, однократно за каждое успешное выполнение нормативов испытаний (тестов) Всероссийского физкультурно-спортивного комплекса ГТО в размерах, предусмотренных пунктом 1 настоящего постановления.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Работник представляет в кадровую службу государственного органа Еврейской автономной области (далее – область), в котором работник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замещает должность, не являющуюся должностью государственной гражданской службы области,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следующий пакет докумен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тов: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заявление о предоставлении дополнительного оплачиваемого отпуска за выполнение нормативов испытаний (тестов) Всероссийского физкультурно-спортивного комплекса ГТО;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копию удостоверения о награждении знаком отличия Всероссийского физкультурно-спортивного комплекса ГТО, либо копию приказа Министерства спорта Российской Федерации о награждении золотым знаком отличия Всероссийского физкультурно-спортивного комплекса ГТО,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  <w:br/>
        <w:t xml:space="preserve">либо копию распорядительного акта органа исполнительной власти субъекта Российской Федерации в области физической культуры и спорта о награждении серебряным или бронзовым знаками отличия Всероссийского физкультурно-спортивного комплекса ГТО;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справку органа исполнительной власти иного субъекта Российской Федерации, иного государственного органа области либо иного работодателя  о предоставлении (непредоставлении) работнику по прежнему месту работы  дополни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тельного оплачиваемого отпуска за выполнение нормативов испытаний (тестов) Всероссийского физкультурно-спортивного комплекса ГТО.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 Кадровая служба государственного органа области при наличии полного пакета документов, предусмотренных пунктом 2 настоящего Порядка, готовит локальный акт о предоставлении дополнительного оплачиваемого отпуска за выполнение нормативов испытаний (тестов)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Всероссийского физкультурно-спортивного комплекса ГТО работнику в порядке и сроки, определенные трудовым законодательством.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rFonts w:ascii="Times New Roman" w:hAnsi="Times New Roman" w:cs="Times New Roman"/>
        <w:sz w:val="24"/>
        <w:szCs w:val="24"/>
      </w:rPr>
    </w:pPr>
    <w:fldSimple w:instr="PAGE \* MERGEFORMAT"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</w:fldSimple>
    <w:r>
      <w:rPr>
        <w:rFonts w:ascii="Times New Roman" w:hAnsi="Times New Roman" w:eastAsia="Times New Roman" w:cs="Times New Roman"/>
        <w:sz w:val="24"/>
        <w:szCs w:val="24"/>
      </w:rPr>
    </w:r>
    <w:r>
      <w:rPr>
        <w:rFonts w:ascii="Times New Roman" w:hAnsi="Times New Roman" w:eastAsia="Times New Roman" w:cs="Times New Roman"/>
        <w:sz w:val="24"/>
        <w:szCs w:val="24"/>
      </w:rPr>
    </w:r>
  </w:p>
  <w:p>
    <w:pPr>
      <w:pStyle w:val="682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</w:pPr>
    <w:r/>
    <w:r/>
  </w:p>
  <w:p>
    <w:pPr>
      <w:pStyle w:val="682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2024-10-14T06:50:08Z</dcterms:modified>
</cp:coreProperties>
</file>